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83" w:rsidRPr="00E83583" w:rsidRDefault="00E83583" w:rsidP="00E8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  <w:r w:rsidRPr="00E83583">
        <w:rPr>
          <w:rFonts w:ascii="Arial" w:hAnsi="Arial" w:cs="Arial"/>
          <w:sz w:val="24"/>
          <w:szCs w:val="24"/>
        </w:rPr>
        <w:t xml:space="preserve">Załącznik Nr 3 do </w:t>
      </w:r>
    </w:p>
    <w:p w:rsidR="00E83583" w:rsidRPr="00E83583" w:rsidRDefault="00E83583" w:rsidP="00E8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  <w:r w:rsidRPr="00E83583">
        <w:rPr>
          <w:rFonts w:ascii="Arial" w:hAnsi="Arial" w:cs="Arial"/>
          <w:sz w:val="24"/>
          <w:szCs w:val="24"/>
        </w:rPr>
        <w:t xml:space="preserve">Uchwały Nr </w:t>
      </w:r>
      <w:r w:rsidR="00D90A46">
        <w:rPr>
          <w:rFonts w:ascii="Arial" w:hAnsi="Arial" w:cs="Arial"/>
          <w:sz w:val="24"/>
          <w:szCs w:val="24"/>
        </w:rPr>
        <w:t>LVIII/280</w:t>
      </w:r>
      <w:bookmarkStart w:id="0" w:name="_GoBack"/>
      <w:bookmarkEnd w:id="0"/>
      <w:r w:rsidRPr="00E83583">
        <w:rPr>
          <w:rFonts w:ascii="Arial" w:hAnsi="Arial" w:cs="Arial"/>
          <w:sz w:val="24"/>
          <w:szCs w:val="24"/>
        </w:rPr>
        <w:t>/2023</w:t>
      </w:r>
    </w:p>
    <w:p w:rsidR="00E83583" w:rsidRPr="00E83583" w:rsidRDefault="00E83583" w:rsidP="00E8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  <w:r w:rsidRPr="00E83583">
        <w:rPr>
          <w:rFonts w:ascii="Arial" w:hAnsi="Arial" w:cs="Arial"/>
          <w:sz w:val="24"/>
          <w:szCs w:val="24"/>
        </w:rPr>
        <w:t>Rady Powiatu w Węgorzewie</w:t>
      </w:r>
    </w:p>
    <w:p w:rsidR="00E83583" w:rsidRPr="00E83583" w:rsidRDefault="00E83583" w:rsidP="00E8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  <w:r w:rsidRPr="00E83583">
        <w:rPr>
          <w:rFonts w:ascii="Arial" w:hAnsi="Arial" w:cs="Arial"/>
          <w:sz w:val="24"/>
          <w:szCs w:val="24"/>
        </w:rPr>
        <w:t>z dnia 11 października 2023</w:t>
      </w:r>
    </w:p>
    <w:p w:rsidR="00E83583" w:rsidRPr="00E83583" w:rsidRDefault="00E83583" w:rsidP="00E8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</w:p>
    <w:p w:rsidR="00E83583" w:rsidRPr="00E83583" w:rsidRDefault="00E83583" w:rsidP="00E8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</w:p>
    <w:p w:rsidR="00E83583" w:rsidRPr="00E83583" w:rsidRDefault="00E83583" w:rsidP="00E8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</w:p>
    <w:p w:rsidR="00E83583" w:rsidRPr="00E83583" w:rsidRDefault="00E83583" w:rsidP="00E8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83583">
        <w:rPr>
          <w:rFonts w:ascii="Arial" w:hAnsi="Arial" w:cs="Arial"/>
          <w:b/>
          <w:bCs/>
          <w:sz w:val="24"/>
          <w:szCs w:val="24"/>
        </w:rPr>
        <w:t xml:space="preserve">Część opisowa do Wieloletniej Prognozy Finansowej </w:t>
      </w:r>
    </w:p>
    <w:p w:rsidR="00E83583" w:rsidRPr="00E83583" w:rsidRDefault="00E83583" w:rsidP="00E8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83583">
        <w:rPr>
          <w:rFonts w:ascii="Arial" w:hAnsi="Arial" w:cs="Arial"/>
          <w:b/>
          <w:bCs/>
          <w:sz w:val="24"/>
          <w:szCs w:val="24"/>
        </w:rPr>
        <w:t>Powiatu Węgorzewskiego</w:t>
      </w:r>
    </w:p>
    <w:p w:rsidR="00E83583" w:rsidRPr="00E83583" w:rsidRDefault="00E83583" w:rsidP="00E8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83583">
        <w:rPr>
          <w:rFonts w:ascii="Arial" w:hAnsi="Arial" w:cs="Arial"/>
          <w:b/>
          <w:bCs/>
          <w:sz w:val="24"/>
          <w:szCs w:val="24"/>
        </w:rPr>
        <w:t>na lata 2023-2030</w:t>
      </w:r>
    </w:p>
    <w:p w:rsidR="00E83583" w:rsidRPr="00E83583" w:rsidRDefault="00E83583" w:rsidP="00E8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83583" w:rsidRPr="00E83583" w:rsidRDefault="00E83583" w:rsidP="00E8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83583">
        <w:rPr>
          <w:rFonts w:ascii="Arial" w:hAnsi="Arial" w:cs="Arial"/>
          <w:sz w:val="24"/>
          <w:szCs w:val="24"/>
        </w:rPr>
        <w:t>Na rok 2023 zaplanowano dochody budżetowe w wysokości 92.967.965,07 zł, w tym dochody bieżące 61.939.461,15 zł oraz dochody majątkowe w wysokości 31.028.503,92 zł. Wydatki budżetu w wysokości 98.803.724,19 zł</w:t>
      </w:r>
      <w:r w:rsidRPr="00E83583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E83583">
        <w:rPr>
          <w:rFonts w:ascii="Arial" w:hAnsi="Arial" w:cs="Arial"/>
          <w:sz w:val="24"/>
          <w:szCs w:val="24"/>
        </w:rPr>
        <w:t xml:space="preserve"> z czego wydatki bieżące 63.934.893,50 zł oraz wydatki majątkowe 34.868.830,69 zł. W wyniku tej relacji dochodów do wydatków, w 2023 roku powstał deficyt budżetowy w wysokości 5.835.759,12 zł.</w:t>
      </w:r>
    </w:p>
    <w:p w:rsidR="00E83583" w:rsidRPr="00E83583" w:rsidRDefault="00E83583" w:rsidP="00E8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E83583" w:rsidRPr="00E83583" w:rsidRDefault="00E83583" w:rsidP="00E8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83583">
        <w:rPr>
          <w:rFonts w:ascii="Arial" w:hAnsi="Arial" w:cs="Arial"/>
          <w:sz w:val="24"/>
          <w:szCs w:val="24"/>
        </w:rPr>
        <w:t xml:space="preserve">W ramach przychodów na pokrycie deficytu zaplanowana jest kwota 2.779.786,07 zł, są to nadwyżki budżetu jednostki samorządu terytorialnego z lat ubiegłych, o których mowa w art. 217 ust. 2 pkt 5 </w:t>
      </w:r>
      <w:proofErr w:type="spellStart"/>
      <w:r w:rsidRPr="00E83583">
        <w:rPr>
          <w:rFonts w:ascii="Arial" w:hAnsi="Arial" w:cs="Arial"/>
          <w:sz w:val="24"/>
          <w:szCs w:val="24"/>
        </w:rPr>
        <w:t>ufp</w:t>
      </w:r>
      <w:proofErr w:type="spellEnd"/>
      <w:r w:rsidRPr="00E83583">
        <w:rPr>
          <w:rFonts w:ascii="Arial" w:hAnsi="Arial" w:cs="Arial"/>
          <w:sz w:val="24"/>
          <w:szCs w:val="24"/>
        </w:rPr>
        <w:t xml:space="preserve">. oraz niewykorzystane środki pieniężne, o których mowa w art. 217 ust. 2 pkt 8 </w:t>
      </w:r>
      <w:proofErr w:type="spellStart"/>
      <w:r w:rsidRPr="00E83583">
        <w:rPr>
          <w:rFonts w:ascii="Arial" w:hAnsi="Arial" w:cs="Arial"/>
          <w:sz w:val="24"/>
          <w:szCs w:val="24"/>
        </w:rPr>
        <w:t>ufp</w:t>
      </w:r>
      <w:proofErr w:type="spellEnd"/>
      <w:r w:rsidRPr="00E83583">
        <w:rPr>
          <w:rFonts w:ascii="Arial" w:hAnsi="Arial" w:cs="Arial"/>
          <w:sz w:val="24"/>
          <w:szCs w:val="24"/>
        </w:rPr>
        <w:t xml:space="preserve">. w wysokości 555.973,05 zł (Rządowy Fundusz Inwestycji Lokalnych – 171.490,81 zł). W celu pokrycia deficytu budżetowego zaplanowano również kwotę 2.500.000 zł jako środki do pozyskania z kredytów, pożyczek lub emisji obligacji. </w:t>
      </w:r>
    </w:p>
    <w:p w:rsidR="00E83583" w:rsidRPr="00E83583" w:rsidRDefault="00E83583" w:rsidP="00E8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83583">
        <w:rPr>
          <w:rFonts w:ascii="Arial" w:hAnsi="Arial" w:cs="Arial"/>
          <w:sz w:val="24"/>
          <w:szCs w:val="24"/>
        </w:rPr>
        <w:t>Przewiduje się, że w 2023 r. zostaną wykupione obligacje w wysokości 1.400.000 zł. Na pokrycie wykupu przeznaczona jest nadwyżka budżetowa z lat ubiegłych w wysokości 1.400.000 zł.</w:t>
      </w:r>
    </w:p>
    <w:p w:rsidR="00E83583" w:rsidRPr="00E83583" w:rsidRDefault="00E83583" w:rsidP="00E83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3583" w:rsidRPr="00E83583" w:rsidRDefault="00E83583" w:rsidP="00E83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3E6B" w:rsidRDefault="004F3E6B"/>
    <w:sectPr w:rsidR="004F3E6B" w:rsidSect="005E5E3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09"/>
    <w:rsid w:val="004F3E6B"/>
    <w:rsid w:val="008F7309"/>
    <w:rsid w:val="00D90A46"/>
    <w:rsid w:val="00E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Sakowska</dc:creator>
  <cp:keywords/>
  <dc:description/>
  <cp:lastModifiedBy>Dorota Sakowska</cp:lastModifiedBy>
  <cp:revision>3</cp:revision>
  <dcterms:created xsi:type="dcterms:W3CDTF">2023-10-05T14:27:00Z</dcterms:created>
  <dcterms:modified xsi:type="dcterms:W3CDTF">2023-10-11T11:30:00Z</dcterms:modified>
</cp:coreProperties>
</file>